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Analisi SWOT</w:t>
      </w:r>
    </w:p>
    <w:p>
      <w:r>
        <w:t>L'analisi SWOT è uno strumento fondamentale per il marketing strategico. Utilizzando questo modello, è possibile identificare i punti di forza, le debolezze, le opportunità e le minacce per la vostra azienda. Riempite le sezioni sottostanti con le vostre osservazioni e analisi.</w:t>
      </w:r>
    </w:p>
    <w:p>
      <w:pPr>
        <w:pStyle w:val="Heading2"/>
      </w:pPr>
      <w:r>
        <w:t>Punti di Forza (Strengths)</w:t>
      </w:r>
    </w:p>
    <w:p>
      <w:r>
        <w:t>Identificare gli aspetti positivi interni all'azienda che le danno un vantaggio competitivo.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</w:tbl>
    <w:p/>
    <w:p>
      <w:pPr>
        <w:pStyle w:val="Heading2"/>
      </w:pPr>
      <w:r>
        <w:t>Debolezze (Weaknesses)</w:t>
      </w:r>
    </w:p>
    <w:p>
      <w:r>
        <w:t>Identificare gli aspetti interni che pongono l'azienda in svantaggio rispetto ai concorrenti.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</w:tbl>
    <w:p/>
    <w:p>
      <w:pPr>
        <w:pStyle w:val="Heading2"/>
      </w:pPr>
      <w:r>
        <w:t>Opportunità (Opportunities)</w:t>
      </w:r>
    </w:p>
    <w:p>
      <w:r>
        <w:t>Identificare gli elementi esterni che l'azienda può sfruttare a proprio vantaggio.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</w:tbl>
    <w:p/>
    <w:p>
      <w:pPr>
        <w:pStyle w:val="Heading2"/>
      </w:pPr>
      <w:r>
        <w:t>Minacce (Threats)</w:t>
      </w:r>
    </w:p>
    <w:p>
      <w:r>
        <w:t>Identificare gli elementi esterni che potrebbero causare problemi o rischi per l'azienda.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  <w:tr>
        <w:tc>
          <w:tcPr>
            <w:tcW w:type="dxa" w:w="8640"/>
          </w:tcPr>
          <w:p>
            <w:r/>
          </w:p>
        </w:tc>
      </w:tr>
    </w:tbl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